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3F4" w:rsidRPr="00C601D3" w:rsidRDefault="007463F4" w:rsidP="007463F4">
      <w:pPr>
        <w:pStyle w:val="NoSpacing"/>
        <w:jc w:val="right"/>
        <w:rPr>
          <w:rFonts w:ascii="Times New Roman" w:hAnsi="Times New Roman"/>
          <w:b/>
          <w:bCs/>
          <w:lang w:val="ro-RO"/>
        </w:rPr>
      </w:pPr>
      <w:r w:rsidRPr="00005B72">
        <w:rPr>
          <w:rFonts w:ascii="Times New Roman" w:hAnsi="Times New Roman"/>
          <w:b/>
          <w:bCs/>
          <w:lang w:val="ro-RO"/>
        </w:rPr>
        <w:t>Anexa nr.</w:t>
      </w:r>
      <w:r w:rsidRPr="00C601D3">
        <w:rPr>
          <w:rFonts w:ascii="Times New Roman" w:hAnsi="Times New Roman"/>
          <w:b/>
          <w:bCs/>
          <w:lang w:val="ro-RO"/>
        </w:rPr>
        <w:t>13</w:t>
      </w:r>
    </w:p>
    <w:p w:rsidR="007463F4" w:rsidRPr="00C601D3" w:rsidRDefault="007463F4" w:rsidP="007463F4">
      <w:pPr>
        <w:pStyle w:val="NoSpacing"/>
        <w:jc w:val="right"/>
        <w:rPr>
          <w:rFonts w:ascii="Times New Roman" w:hAnsi="Times New Roman"/>
          <w:sz w:val="24"/>
          <w:szCs w:val="24"/>
          <w:lang w:val="ro-RO"/>
        </w:rPr>
      </w:pPr>
      <w:r w:rsidRPr="00C601D3">
        <w:rPr>
          <w:rFonts w:ascii="Times New Roman" w:hAnsi="Times New Roman"/>
          <w:sz w:val="24"/>
          <w:szCs w:val="24"/>
          <w:lang w:val="ro-RO"/>
        </w:rPr>
        <w:t>la Instrucţiunea privind etapele, termenele, modul</w:t>
      </w:r>
    </w:p>
    <w:p w:rsidR="007463F4" w:rsidRPr="00C601D3" w:rsidRDefault="007463F4" w:rsidP="007463F4">
      <w:pPr>
        <w:pStyle w:val="NoSpacing"/>
        <w:jc w:val="right"/>
        <w:rPr>
          <w:rFonts w:ascii="Times New Roman" w:hAnsi="Times New Roman"/>
          <w:b/>
          <w:bCs/>
          <w:lang w:val="ro-RO"/>
        </w:rPr>
      </w:pPr>
      <w:r w:rsidRPr="00C601D3">
        <w:rPr>
          <w:rFonts w:ascii="Times New Roman" w:hAnsi="Times New Roman"/>
          <w:sz w:val="24"/>
          <w:szCs w:val="24"/>
          <w:lang w:val="ro-RO"/>
        </w:rPr>
        <w:t>şi procedurile de înregistrare a valorilor mobiliare</w:t>
      </w:r>
    </w:p>
    <w:p w:rsidR="007463F4" w:rsidRPr="008025B6" w:rsidRDefault="007463F4" w:rsidP="007463F4">
      <w:pPr>
        <w:pStyle w:val="NoSpacing"/>
        <w:jc w:val="both"/>
        <w:rPr>
          <w:rFonts w:ascii="Times New Roman" w:hAnsi="Times New Roman"/>
          <w:b/>
          <w:bCs/>
          <w:lang w:val="ro-RO"/>
        </w:rPr>
      </w:pPr>
    </w:p>
    <w:p w:rsidR="007463F4" w:rsidRPr="008025B6" w:rsidRDefault="007463F4" w:rsidP="007463F4">
      <w:pPr>
        <w:pStyle w:val="NoSpacing"/>
        <w:jc w:val="both"/>
        <w:rPr>
          <w:rFonts w:ascii="Times New Roman" w:hAnsi="Times New Roman"/>
          <w:b/>
          <w:bCs/>
          <w:lang w:val="ro-RO"/>
        </w:rPr>
      </w:pPr>
    </w:p>
    <w:p w:rsidR="007463F4" w:rsidRPr="00FE7259" w:rsidRDefault="007463F4" w:rsidP="007463F4">
      <w:pPr>
        <w:pStyle w:val="NoSpacing"/>
        <w:jc w:val="center"/>
        <w:rPr>
          <w:rFonts w:ascii="Times New Roman" w:hAnsi="Times New Roman"/>
          <w:b/>
          <w:sz w:val="24"/>
          <w:szCs w:val="24"/>
          <w:lang w:val="ro-RO"/>
        </w:rPr>
      </w:pPr>
      <w:r w:rsidRPr="008025B6">
        <w:rPr>
          <w:rFonts w:ascii="Times New Roman" w:hAnsi="Times New Roman"/>
          <w:b/>
          <w:sz w:val="24"/>
          <w:szCs w:val="24"/>
          <w:lang w:val="ro-RO"/>
        </w:rPr>
        <w:t xml:space="preserve">Informații minime necesare </w:t>
      </w:r>
      <w:r w:rsidRPr="008025B6">
        <w:rPr>
          <w:rFonts w:ascii="Times New Roman" w:hAnsi="Times New Roman"/>
          <w:b/>
          <w:bCs/>
          <w:sz w:val="24"/>
          <w:szCs w:val="24"/>
          <w:lang w:val="ro-RO"/>
        </w:rPr>
        <w:t>a fi incluse în Nota privind valorile mobiliare în cadrul ofertei de obligațiuni</w:t>
      </w:r>
      <w:r w:rsidRPr="00E42DD5">
        <w:rPr>
          <w:rFonts w:ascii="Times New Roman" w:hAnsi="Times New Roman"/>
          <w:b/>
          <w:bCs/>
          <w:sz w:val="24"/>
          <w:szCs w:val="24"/>
          <w:lang w:val="ro-RO"/>
        </w:rPr>
        <w:t xml:space="preserve"> </w:t>
      </w:r>
      <w:r w:rsidRPr="00E42DD5">
        <w:rPr>
          <w:rFonts w:ascii="Times New Roman" w:hAnsi="Times New Roman"/>
          <w:b/>
          <w:sz w:val="24"/>
          <w:szCs w:val="24"/>
          <w:lang w:val="ro-RO"/>
        </w:rPr>
        <w:t>cu o valoare nominală unitară de cel puțin echivalentul în lei a</w:t>
      </w:r>
      <w:r w:rsidRPr="00FE7259">
        <w:rPr>
          <w:rFonts w:ascii="Times New Roman" w:hAnsi="Times New Roman"/>
          <w:b/>
          <w:sz w:val="24"/>
          <w:szCs w:val="24"/>
          <w:lang w:val="ro-RO"/>
        </w:rPr>
        <w:t xml:space="preserve"> 50 000 EUR</w:t>
      </w:r>
    </w:p>
    <w:p w:rsidR="007463F4" w:rsidRPr="00A053D8" w:rsidRDefault="007463F4" w:rsidP="007463F4">
      <w:pPr>
        <w:pStyle w:val="NoSpacing"/>
        <w:jc w:val="both"/>
        <w:rPr>
          <w:rFonts w:ascii="Times New Roman" w:hAnsi="Times New Roman"/>
          <w:b/>
          <w:bCs/>
          <w:lang w:val="ro-RO"/>
        </w:rPr>
      </w:pPr>
    </w:p>
    <w:tbl>
      <w:tblPr>
        <w:tblW w:w="5194" w:type="pct"/>
        <w:tblInd w:w="-393" w:type="dxa"/>
        <w:tblBorders>
          <w:top w:val="single" w:sz="2" w:space="0" w:color="000000"/>
          <w:left w:val="single" w:sz="2" w:space="0" w:color="000000"/>
          <w:bottom w:val="single" w:sz="2" w:space="0" w:color="000000"/>
          <w:right w:val="single" w:sz="2" w:space="0" w:color="000000"/>
        </w:tblBorders>
        <w:shd w:val="clear" w:color="auto" w:fill="FFFFFF"/>
        <w:tblLayout w:type="fixed"/>
        <w:tblCellMar>
          <w:left w:w="0" w:type="dxa"/>
          <w:right w:w="0" w:type="dxa"/>
        </w:tblCellMar>
        <w:tblLook w:val="04A0"/>
      </w:tblPr>
      <w:tblGrid>
        <w:gridCol w:w="628"/>
        <w:gridCol w:w="8796"/>
      </w:tblGrid>
      <w:tr w:rsidR="007463F4"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widowControl w:val="0"/>
              <w:tabs>
                <w:tab w:val="left" w:pos="701"/>
                <w:tab w:val="center" w:pos="5741"/>
              </w:tabs>
              <w:autoSpaceDE w:val="0"/>
              <w:autoSpaceDN w:val="0"/>
              <w:adjustRightInd w:val="0"/>
              <w:rPr>
                <w:rFonts w:ascii="Times New Roman" w:hAnsi="Times New Roman"/>
                <w:lang w:val="ro-RO"/>
              </w:rPr>
            </w:pPr>
            <w:r>
              <w:rPr>
                <w:rFonts w:ascii="Times New Roman" w:hAnsi="Times New Roman"/>
                <w:b/>
                <w:bCs/>
                <w:lang w:val="ro-RO"/>
              </w:rPr>
              <w:tab/>
            </w:r>
            <w:r>
              <w:rPr>
                <w:rFonts w:ascii="Times New Roman" w:hAnsi="Times New Roman"/>
                <w:b/>
                <w:bCs/>
                <w:lang w:val="ro-RO"/>
              </w:rPr>
              <w:tab/>
              <w:t>1. PERSOANE RESPONSABILE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E42DD5" w:rsidRDefault="007463F4" w:rsidP="00684656">
            <w:pPr>
              <w:pStyle w:val="NoSpacing"/>
              <w:ind w:right="129"/>
              <w:jc w:val="both"/>
              <w:rPr>
                <w:rFonts w:ascii="Times New Roman" w:hAnsi="Times New Roman"/>
                <w:lang w:val="ro-RO"/>
              </w:rPr>
            </w:pPr>
            <w:r w:rsidRPr="00A053D8">
              <w:rPr>
                <w:rFonts w:ascii="Times New Roman" w:hAnsi="Times New Roman"/>
                <w:lang w:val="ro-RO"/>
              </w:rPr>
              <w:t>Se indică toate persoanele responsabile pentru informațiile incluse în Nota privind valorile mobiliare (</w:t>
            </w:r>
            <w:r w:rsidRPr="00005B72">
              <w:rPr>
                <w:rFonts w:ascii="Times New Roman" w:hAnsi="Times New Roman"/>
                <w:lang w:val="ro-RO"/>
              </w:rPr>
              <w:t>în continuare</w:t>
            </w:r>
            <w:r w:rsidRPr="00C601D3">
              <w:rPr>
                <w:rFonts w:ascii="Times New Roman" w:hAnsi="Times New Roman"/>
                <w:lang w:val="ro-RO"/>
              </w:rPr>
              <w:t xml:space="preserve"> - Notă) și, dacă e cazul, cele</w:t>
            </w:r>
            <w:r w:rsidRPr="008025B6">
              <w:rPr>
                <w:rFonts w:ascii="Times New Roman" w:hAnsi="Times New Roman"/>
                <w:lang w:val="ro-RO"/>
              </w:rPr>
              <w:t xml:space="preserve"> responsabile doar pentru anumite părți ale acesteia, pentru care se vor face precizările corespunzătoare. În cazul persoanelor fizice, inclusiv membri ai organelor de conducere ale emitentului (organul executiv, consiliul societății și comisia de cenzori), se indică numele, prenumele și fun</w:t>
            </w:r>
            <w:r w:rsidRPr="00E42DD5">
              <w:rPr>
                <w:rFonts w:ascii="Times New Roman" w:hAnsi="Times New Roman"/>
                <w:lang w:val="ro-RO"/>
              </w:rPr>
              <w:t>cția acestora; în cazul persoanelor juridice - denumirea, IDNO, adresa juridică.</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O declarație a persoanelor responsabile pentru întocmirea Notei și, dacă e  cazul, o declarație și a celor responsabil</w:t>
            </w:r>
            <w:r w:rsidRPr="00005B72">
              <w:rPr>
                <w:rFonts w:ascii="Times New Roman" w:hAnsi="Times New Roman"/>
                <w:lang w:val="ro-RO"/>
              </w:rPr>
              <w:t xml:space="preserve">e doar pentru anumite părți ale acesteia, din care să reiasă că, după luarea tuturor măsurilor rezonabile în acest sens, informațiile incluse în Notă/partea din Notă (de precizat care anume) sunt, după cunoștințele lor,conforme cu realitatea și nu conțin </w:t>
            </w:r>
            <w:r w:rsidRPr="00C601D3">
              <w:rPr>
                <w:rFonts w:ascii="Times New Roman" w:hAnsi="Times New Roman"/>
                <w:lang w:val="ro-RO"/>
              </w:rPr>
              <w:t>omisiuni de natură să afecteze semnificativ conținutul acesteia. </w:t>
            </w:r>
          </w:p>
        </w:tc>
      </w:tr>
      <w:tr w:rsidR="007463F4"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left="149" w:right="129"/>
              <w:jc w:val="center"/>
              <w:rPr>
                <w:rFonts w:ascii="Times New Roman" w:hAnsi="Times New Roman"/>
                <w:lang w:val="ro-RO"/>
              </w:rPr>
            </w:pPr>
            <w:r w:rsidRPr="00A053D8">
              <w:rPr>
                <w:rFonts w:ascii="Times New Roman" w:hAnsi="Times New Roman"/>
                <w:b/>
                <w:bCs/>
                <w:lang w:val="ro-RO"/>
              </w:rPr>
              <w:t>2. FACTORI DE RISC</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widowControl w:val="0"/>
              <w:autoSpaceDE w:val="0"/>
              <w:autoSpaceDN w:val="0"/>
              <w:adjustRightInd w:val="0"/>
              <w:jc w:val="both"/>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sz w:val="24"/>
                <w:szCs w:val="24"/>
                <w:lang w:val="ro-RO"/>
              </w:rPr>
            </w:pPr>
            <w:r w:rsidRPr="00A053D8">
              <w:rPr>
                <w:rFonts w:ascii="Times New Roman" w:hAnsi="Times New Roman"/>
                <w:lang w:val="ro-RO"/>
              </w:rPr>
              <w:t>Se prezintă factor</w:t>
            </w:r>
            <w:r>
              <w:rPr>
                <w:rFonts w:ascii="Times New Roman" w:hAnsi="Times New Roman"/>
                <w:lang w:val="ro-RO"/>
              </w:rPr>
              <w:t>i</w:t>
            </w:r>
            <w:r w:rsidRPr="00A053D8">
              <w:rPr>
                <w:rFonts w:ascii="Times New Roman" w:hAnsi="Times New Roman"/>
                <w:lang w:val="ro-RO"/>
              </w:rPr>
              <w:t xml:space="preserve">ii de risc care au o influență semnificativă asupra valorilor mobiliare oferite și admise la </w:t>
            </w:r>
            <w:r w:rsidRPr="00005B72">
              <w:rPr>
                <w:rFonts w:ascii="Times New Roman" w:hAnsi="Times New Roman"/>
                <w:lang w:val="ro-RO"/>
              </w:rPr>
              <w:t>tranzacționare pentru evaluarea riscului de piață asociat valorilor mobiliare în cauză.</w:t>
            </w:r>
          </w:p>
        </w:tc>
      </w:tr>
      <w:tr w:rsidR="007463F4"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left="149" w:right="129"/>
              <w:jc w:val="center"/>
              <w:rPr>
                <w:rFonts w:ascii="Times New Roman" w:hAnsi="Times New Roman"/>
                <w:lang w:val="ro-RO"/>
              </w:rPr>
            </w:pPr>
            <w:r w:rsidRPr="00A053D8">
              <w:rPr>
                <w:rFonts w:ascii="Times New Roman" w:hAnsi="Times New Roman"/>
                <w:b/>
                <w:bCs/>
                <w:lang w:val="ro-RO"/>
              </w:rPr>
              <w:t>3. INFORMAȚII DE BAZĂ</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widowControl w:val="0"/>
              <w:autoSpaceDE w:val="0"/>
              <w:autoSpaceDN w:val="0"/>
              <w:adjustRightInd w:val="0"/>
              <w:jc w:val="both"/>
              <w:rPr>
                <w:rFonts w:ascii="Times New Roman" w:hAnsi="Times New Roman"/>
                <w:b/>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sz w:val="24"/>
                <w:szCs w:val="24"/>
                <w:u w:val="single"/>
                <w:lang w:val="ro-RO"/>
              </w:rPr>
            </w:pPr>
            <w:r w:rsidRPr="00A053D8">
              <w:rPr>
                <w:rFonts w:ascii="Times New Roman" w:hAnsi="Times New Roman"/>
                <w:b/>
                <w:bCs/>
                <w:u w:val="single"/>
                <w:lang w:val="ro-RO"/>
              </w:rPr>
              <w:t>Interesele persoanelor fizice și juridice participante la emisiune/ofertă</w:t>
            </w:r>
          </w:p>
          <w:p w:rsidR="007463F4" w:rsidRPr="00C601D3" w:rsidRDefault="007463F4" w:rsidP="00684656">
            <w:pPr>
              <w:pStyle w:val="NoSpacing"/>
              <w:ind w:right="129"/>
              <w:jc w:val="both"/>
              <w:rPr>
                <w:rFonts w:ascii="Times New Roman" w:hAnsi="Times New Roman"/>
                <w:sz w:val="24"/>
                <w:szCs w:val="24"/>
                <w:lang w:val="ro-RO"/>
              </w:rPr>
            </w:pPr>
            <w:r w:rsidRPr="00005B72">
              <w:rPr>
                <w:rFonts w:ascii="Times New Roman" w:hAnsi="Times New Roman"/>
                <w:lang w:val="ro-RO"/>
              </w:rPr>
              <w:t>O descriere a tuturor intereselor, inclusiv a celor conflictuale, care ar p</w:t>
            </w:r>
            <w:r w:rsidRPr="00C601D3">
              <w:rPr>
                <w:rFonts w:ascii="Times New Roman" w:hAnsi="Times New Roman"/>
                <w:lang w:val="ro-RO"/>
              </w:rPr>
              <w:t>utea influența semnificativ emisiunea/oferta, identificând fiecare dintre persoanele implicate și indicând natura intereselor.</w:t>
            </w:r>
          </w:p>
        </w:tc>
      </w:tr>
      <w:tr w:rsidR="007463F4"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left="149" w:right="129"/>
              <w:jc w:val="center"/>
              <w:rPr>
                <w:rFonts w:ascii="Times New Roman" w:hAnsi="Times New Roman"/>
                <w:lang w:val="ro-RO"/>
              </w:rPr>
            </w:pPr>
            <w:r w:rsidRPr="00A053D8">
              <w:rPr>
                <w:rFonts w:ascii="Times New Roman" w:hAnsi="Times New Roman"/>
                <w:b/>
                <w:bCs/>
                <w:lang w:val="ro-RO"/>
              </w:rPr>
              <w:t xml:space="preserve">                4. INFORMAȚII PRIVIND VALORILE MOBILIARE CARE URMEAZĂ A FI OFERITE/ADMISE LA TRANZACȚIONARE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b/>
                <w:bCs/>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bCs/>
                <w:lang w:val="ro-RO"/>
              </w:rPr>
              <w:t>Cuantumul total al valorilor mobiliare admise la tranzacționare.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sz w:val="24"/>
                <w:szCs w:val="24"/>
                <w:lang w:val="ro-RO"/>
              </w:rPr>
            </w:pPr>
            <w:r w:rsidRPr="00A053D8">
              <w:rPr>
                <w:rFonts w:ascii="Times New Roman" w:hAnsi="Times New Roman"/>
                <w:lang w:val="ro-RO"/>
              </w:rPr>
              <w:t xml:space="preserve">O descriere a naturii și categoriei valorilor mobiliare oferite și admise la tranzacționare și codul de identificare a valorilor mobiliare  ISIN (numărul internațional de identificare a </w:t>
            </w:r>
            <w:r w:rsidRPr="00005B72">
              <w:rPr>
                <w:rFonts w:ascii="Times New Roman" w:hAnsi="Times New Roman"/>
                <w:lang w:val="ro-RO"/>
              </w:rPr>
              <w:t>valorilor mobiliare ).</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3)</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Legislația în temeiul căreia  se emit valorile mobiliare.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4)</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Indicarea formei sub care au fost emise valorile mobiliare (nematerializată). Se indică denumirea și adresa entității care asigură ținerea registrului  valorilor mobil</w:t>
            </w:r>
            <w:r w:rsidRPr="00005B72">
              <w:rPr>
                <w:rFonts w:ascii="Times New Roman" w:hAnsi="Times New Roman"/>
                <w:lang w:val="ro-RO"/>
              </w:rPr>
              <w:t>iare ale emitentului.</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5)</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Moneda în care se face emisiunea.</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6)</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 xml:space="preserve">Clasificarea valorilor mobiliare oferite și admise la tranzacționare, inclusiv un rezumat al oricărei clauze prin care se urmărește influențarea clasificării sau subordonarea valorilor </w:t>
            </w:r>
            <w:r w:rsidRPr="00005B72">
              <w:rPr>
                <w:rFonts w:ascii="Times New Roman" w:hAnsi="Times New Roman"/>
                <w:lang w:val="ro-RO"/>
              </w:rPr>
              <w:t>mobiliare în cauză oricărui alt angajament curent sau viitor al emitentului.</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7</w:t>
            </w:r>
            <w:r>
              <w:rPr>
                <w:rFonts w:ascii="Times New Roman" w:hAnsi="Times New Roman"/>
                <w:b/>
                <w:bCs/>
                <w:lang w:val="ro-RO"/>
              </w:rPr>
              <w:t>)</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O descriere a drepturilor conexe valorilor mobiliare, inclusiv a oricărei restricții care le este aplicabilă, și a modalităților de exercitare a drepturilor în cauză, clau</w:t>
            </w:r>
            <w:r w:rsidRPr="00005B72">
              <w:rPr>
                <w:rFonts w:ascii="Times New Roman" w:hAnsi="Times New Roman"/>
                <w:lang w:val="ro-RO"/>
              </w:rPr>
              <w:t>zele privind</w:t>
            </w:r>
            <w:r w:rsidRPr="00C601D3">
              <w:rPr>
                <w:rFonts w:ascii="Times New Roman" w:hAnsi="Times New Roman"/>
                <w:lang w:val="ro-RO"/>
              </w:rPr>
              <w:t xml:space="preserve"> convertirea.</w:t>
            </w:r>
          </w:p>
        </w:tc>
      </w:tr>
      <w:tr w:rsidR="007463F4" w:rsidRPr="009E2893" w:rsidTr="00684656">
        <w:trPr>
          <w:trHeight w:val="833"/>
        </w:trPr>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8)</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Rata nominală a dobânzii și dispozițiile privind dobânzile datorate:</w:t>
            </w:r>
          </w:p>
          <w:p w:rsidR="007463F4" w:rsidRPr="00C601D3" w:rsidRDefault="007463F4" w:rsidP="00684656">
            <w:pPr>
              <w:pStyle w:val="NoSpacing"/>
              <w:ind w:right="129"/>
              <w:jc w:val="both"/>
              <w:rPr>
                <w:rFonts w:ascii="Times New Roman" w:hAnsi="Times New Roman"/>
                <w:lang w:val="ro-RO"/>
              </w:rPr>
            </w:pPr>
            <w:r w:rsidRPr="00005B72">
              <w:rPr>
                <w:rFonts w:ascii="Times New Roman" w:hAnsi="Times New Roman"/>
                <w:lang w:val="ro-RO"/>
              </w:rPr>
              <w:t>a) data la care se calculează dobânda și data scadenței dobânzilor;</w:t>
            </w:r>
          </w:p>
          <w:p w:rsidR="007463F4" w:rsidRPr="008025B6" w:rsidRDefault="007463F4" w:rsidP="00684656">
            <w:pPr>
              <w:pStyle w:val="NoSpacing"/>
              <w:ind w:right="129"/>
              <w:jc w:val="both"/>
              <w:rPr>
                <w:rFonts w:ascii="Times New Roman" w:hAnsi="Times New Roman"/>
                <w:lang w:val="ro-RO"/>
              </w:rPr>
            </w:pPr>
            <w:r w:rsidRPr="00C601D3">
              <w:rPr>
                <w:rFonts w:ascii="Times New Roman" w:hAnsi="Times New Roman"/>
                <w:lang w:val="ro-RO"/>
              </w:rPr>
              <w:t>b) termenul de prescriere a dobânzilor și a capitalului. În cazul în care rata dobânzii nu este fixă, se descriu elementele subiacente pe baza cărora se calculează, precum și metoda utilizată pentru stabilirea unei legături între acestea</w:t>
            </w:r>
            <w:r w:rsidRPr="008025B6">
              <w:rPr>
                <w:rFonts w:ascii="Times New Roman" w:hAnsi="Times New Roman"/>
                <w:lang w:val="ro-RO"/>
              </w:rPr>
              <w:t>;</w:t>
            </w:r>
          </w:p>
          <w:p w:rsidR="007463F4" w:rsidRPr="008025B6" w:rsidRDefault="007463F4" w:rsidP="00684656">
            <w:pPr>
              <w:pStyle w:val="NoSpacing"/>
              <w:ind w:right="129"/>
              <w:jc w:val="both"/>
              <w:rPr>
                <w:rFonts w:ascii="Times New Roman" w:hAnsi="Times New Roman"/>
                <w:lang w:val="ro-RO"/>
              </w:rPr>
            </w:pPr>
            <w:r w:rsidRPr="008025B6">
              <w:rPr>
                <w:rFonts w:ascii="Times New Roman" w:hAnsi="Times New Roman"/>
                <w:lang w:val="ro-RO"/>
              </w:rPr>
              <w:t>c) o descriere a oricărei perturbări a pieței sau a procedurilor de regularizare care ar putea influența elementele subiacente;</w:t>
            </w:r>
          </w:p>
          <w:p w:rsidR="007463F4" w:rsidRPr="00E42DD5" w:rsidRDefault="007463F4" w:rsidP="00684656">
            <w:pPr>
              <w:pStyle w:val="NoSpacing"/>
              <w:ind w:right="129"/>
              <w:jc w:val="both"/>
              <w:rPr>
                <w:rFonts w:ascii="Times New Roman" w:hAnsi="Times New Roman"/>
                <w:lang w:val="ro-RO"/>
              </w:rPr>
            </w:pPr>
            <w:r w:rsidRPr="008025B6">
              <w:rPr>
                <w:rFonts w:ascii="Times New Roman" w:hAnsi="Times New Roman"/>
                <w:lang w:val="ro-RO"/>
              </w:rPr>
              <w:t>d) o descriere a normelor de ajustare aplicabile în cazul unui eveniment care influențează elementele subiacente;</w:t>
            </w:r>
          </w:p>
          <w:p w:rsidR="007463F4" w:rsidRPr="00E42DD5" w:rsidRDefault="007463F4" w:rsidP="00684656">
            <w:pPr>
              <w:pStyle w:val="NoSpacing"/>
              <w:ind w:right="129"/>
              <w:jc w:val="both"/>
              <w:rPr>
                <w:rFonts w:ascii="Times New Roman" w:hAnsi="Times New Roman"/>
                <w:lang w:val="ro-RO"/>
              </w:rPr>
            </w:pPr>
            <w:r w:rsidRPr="00E42DD5">
              <w:rPr>
                <w:rFonts w:ascii="Times New Roman" w:hAnsi="Times New Roman"/>
                <w:lang w:val="ro-RO"/>
              </w:rPr>
              <w:lastRenderedPageBreak/>
              <w:t>e) numele persoanei de la care pot fi solicitate explicații clare  privind modul de calculare.</w:t>
            </w:r>
          </w:p>
          <w:p w:rsidR="007463F4" w:rsidRPr="00A053D8" w:rsidRDefault="007463F4" w:rsidP="00684656">
            <w:pPr>
              <w:pStyle w:val="NoSpacing"/>
              <w:widowControl w:val="0"/>
              <w:autoSpaceDE w:val="0"/>
              <w:autoSpaceDN w:val="0"/>
              <w:adjustRightInd w:val="0"/>
              <w:ind w:right="129"/>
              <w:jc w:val="both"/>
              <w:rPr>
                <w:rFonts w:ascii="Times New Roman" w:hAnsi="Times New Roman"/>
                <w:lang w:val="ro-RO"/>
              </w:rPr>
            </w:pPr>
            <w:r w:rsidRPr="00FE7259">
              <w:rPr>
                <w:rFonts w:ascii="Times New Roman" w:hAnsi="Times New Roman"/>
                <w:lang w:val="ro-RO"/>
              </w:rPr>
              <w:t>În cazul în care plata dobânzilor generate de valoarea emisă este corelată cu un instrument derivat (mai multe instrumente derivate), se furnizează explicații clare și exhaustive care să permită investitorilor să înțeleagă modul în care valoarea investiției lor este influențată de cea a instrumentului (instrumentelor) subiacent(e), în special în cazul î</w:t>
            </w:r>
            <w:r>
              <w:rPr>
                <w:rFonts w:ascii="Times New Roman" w:hAnsi="Times New Roman"/>
                <w:lang w:val="ro-RO"/>
              </w:rPr>
              <w:t>n care riscurile sunt evidente.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lastRenderedPageBreak/>
              <w:t>9)</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Data scadenței și o descriere a modalităților de stingere a împrumutului, inclusiv a procedurilor de rambursare.  O descriere a condițiilor și m</w:t>
            </w:r>
            <w:r w:rsidRPr="00005B72">
              <w:rPr>
                <w:rFonts w:ascii="Times New Roman" w:hAnsi="Times New Roman"/>
                <w:lang w:val="ro-RO"/>
              </w:rPr>
              <w:t>odalităților de stingere anticipată,  la inițiativa emitentului sau a deținătorului.</w:t>
            </w:r>
          </w:p>
        </w:tc>
      </w:tr>
      <w:tr w:rsidR="007463F4" w:rsidRPr="00A053D8"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10)</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 xml:space="preserve">Randamentul. </w:t>
            </w:r>
          </w:p>
        </w:tc>
      </w:tr>
      <w:tr w:rsidR="007463F4" w:rsidRPr="009E2893" w:rsidTr="00684656">
        <w:trPr>
          <w:trHeight w:val="694"/>
        </w:trPr>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Modul în care sunt reprezentați deținătorii</w:t>
            </w:r>
            <w:r w:rsidRPr="00005B72">
              <w:rPr>
                <w:rFonts w:ascii="Times New Roman" w:hAnsi="Times New Roman"/>
                <w:lang w:val="ro-RO"/>
              </w:rPr>
              <w:t xml:space="preserve"> de obligațiuni, inclusiv organizația care reprezintă investitorii și dispozițiile aplicabile reprezentării. Locurile în care publicul </w:t>
            </w:r>
            <w:r w:rsidRPr="00C601D3">
              <w:rPr>
                <w:rFonts w:ascii="Times New Roman" w:hAnsi="Times New Roman"/>
                <w:lang w:val="ro-RO"/>
              </w:rPr>
              <w:t>poate avea acces la textele contractelor privind aceste modalități de reprezentare.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O declarație conținând hotărârile, autorizațiile și aprobările în temeiul cărora au fost sau vor fi emise valorile mobiliare.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13)</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right="129"/>
              <w:jc w:val="both"/>
              <w:rPr>
                <w:rFonts w:ascii="Times New Roman" w:hAnsi="Times New Roman"/>
                <w:sz w:val="24"/>
                <w:szCs w:val="24"/>
                <w:lang w:val="ro-RO"/>
              </w:rPr>
            </w:pPr>
            <w:r w:rsidRPr="00A053D8">
              <w:rPr>
                <w:rFonts w:ascii="Times New Roman" w:hAnsi="Times New Roman"/>
                <w:lang w:val="ro-RO"/>
              </w:rPr>
              <w:t>Data prevăzută pentru această emisiune.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14)</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lang w:val="ro-RO"/>
              </w:rPr>
              <w:t>O descriere a tuturor restricțiilor impuse asupra liberei transferabilități a valorilor mobiliare.</w:t>
            </w:r>
          </w:p>
        </w:tc>
      </w:tr>
      <w:tr w:rsidR="007463F4" w:rsidRPr="009E2893"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left="149" w:right="129"/>
              <w:jc w:val="center"/>
              <w:rPr>
                <w:rFonts w:ascii="Times New Roman" w:hAnsi="Times New Roman"/>
                <w:lang w:val="ro-RO"/>
              </w:rPr>
            </w:pPr>
            <w:r w:rsidRPr="00A053D8">
              <w:rPr>
                <w:rFonts w:ascii="Times New Roman" w:hAnsi="Times New Roman"/>
                <w:b/>
                <w:bCs/>
                <w:lang w:val="ro-RO"/>
              </w:rPr>
              <w:t>5. ADMITEREA LA TRANZACȚIONARE ȘI MODALITĂȚI DE TRANZACȚIONARE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 xml:space="preserve">Piața reglementată pe care vor fi </w:t>
            </w:r>
            <w:r w:rsidRPr="00005B72">
              <w:rPr>
                <w:rFonts w:ascii="Times New Roman" w:hAnsi="Times New Roman"/>
                <w:lang w:val="ro-RO"/>
              </w:rPr>
              <w:t>tranzacționate valorile mobiliare și pentru care se publică prospectul. Se menționează, dacă sunt cunoscute, datele cele mai apropiate la care valorile mobiliare vor fi admise la tranzacționare.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 xml:space="preserve">Denumirea și adresa Bursei de Valori, Depozitarului </w:t>
            </w:r>
            <w:r w:rsidRPr="00005B72">
              <w:rPr>
                <w:rFonts w:ascii="Times New Roman" w:hAnsi="Times New Roman"/>
                <w:lang w:val="ro-RO"/>
              </w:rPr>
              <w:t>Central și a tuturor societăților de investiții implicate în ofertă.</w:t>
            </w:r>
          </w:p>
        </w:tc>
      </w:tr>
      <w:tr w:rsidR="007463F4"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463F4" w:rsidRPr="00A053D8" w:rsidRDefault="007463F4" w:rsidP="00684656">
            <w:pPr>
              <w:pStyle w:val="NoSpacing"/>
              <w:ind w:right="129"/>
              <w:jc w:val="center"/>
              <w:rPr>
                <w:rFonts w:ascii="Times New Roman" w:hAnsi="Times New Roman"/>
                <w:sz w:val="24"/>
                <w:szCs w:val="24"/>
                <w:lang w:val="ro-RO"/>
              </w:rPr>
            </w:pPr>
            <w:r w:rsidRPr="00A053D8">
              <w:rPr>
                <w:rFonts w:ascii="Times New Roman" w:hAnsi="Times New Roman"/>
                <w:b/>
                <w:bCs/>
                <w:lang w:val="ro-RO"/>
              </w:rPr>
              <w:t>6.  COSTUL ADMITERII LA TRANZACȚIONARE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463F4" w:rsidRPr="00A053D8" w:rsidRDefault="007463F4" w:rsidP="00684656">
            <w:pPr>
              <w:pStyle w:val="NoSpacing"/>
              <w:jc w:val="both"/>
              <w:rPr>
                <w:rFonts w:ascii="Times New Roman" w:hAnsi="Times New Roman"/>
                <w:b/>
                <w:bCs/>
                <w:lang w:val="ro-RO"/>
              </w:rPr>
            </w:pP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bCs/>
                <w:lang w:val="ro-RO"/>
              </w:rPr>
              <w:t>O</w:t>
            </w:r>
            <w:r w:rsidRPr="00005B72">
              <w:rPr>
                <w:rFonts w:ascii="Times New Roman" w:hAnsi="Times New Roman"/>
                <w:b/>
                <w:bCs/>
                <w:lang w:val="ro-RO"/>
              </w:rPr>
              <w:t xml:space="preserve"> </w:t>
            </w:r>
            <w:r w:rsidRPr="00005B72">
              <w:rPr>
                <w:rFonts w:ascii="Times New Roman" w:hAnsi="Times New Roman"/>
                <w:bCs/>
                <w:lang w:val="ro-RO"/>
              </w:rPr>
              <w:t>estimare a costului total al admiterii la tranzacționare.</w:t>
            </w:r>
          </w:p>
        </w:tc>
      </w:tr>
      <w:tr w:rsidR="007463F4" w:rsidRPr="00A053D8" w:rsidTr="00684656">
        <w:tc>
          <w:tcPr>
            <w:tcW w:w="5000" w:type="pct"/>
            <w:gridSpan w:val="2"/>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ind w:left="149" w:right="129"/>
              <w:jc w:val="center"/>
              <w:rPr>
                <w:rFonts w:ascii="Times New Roman" w:hAnsi="Times New Roman"/>
                <w:lang w:val="ro-RO"/>
              </w:rPr>
            </w:pPr>
            <w:r w:rsidRPr="00A053D8">
              <w:rPr>
                <w:rFonts w:ascii="Times New Roman" w:hAnsi="Times New Roman"/>
                <w:b/>
                <w:bCs/>
                <w:lang w:val="ro-RO"/>
              </w:rPr>
              <w:t>7. INFORMAȚII SUPLIMENTARE</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1)</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În cazul în care în Notă sunt menționați consilieri</w:t>
            </w:r>
            <w:r w:rsidRPr="00005B72">
              <w:rPr>
                <w:rFonts w:ascii="Times New Roman" w:hAnsi="Times New Roman"/>
                <w:lang w:val="ro-RO"/>
              </w:rPr>
              <w:t xml:space="preserve"> care au legătură cu oferta, o declarație precizând calitatea în care au acționat aceștia.</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2)</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Se precizează ce alte informații din Notă au fost verificate sau examinate de către auditori și dacă aceștia au elaborat un raport. Se prezintă raportul în între</w:t>
            </w:r>
            <w:r w:rsidRPr="00005B72">
              <w:rPr>
                <w:rFonts w:ascii="Times New Roman" w:hAnsi="Times New Roman"/>
                <w:lang w:val="ro-RO"/>
              </w:rPr>
              <w:t>gime sau, cu aprobarea autorității competente, un r</w:t>
            </w:r>
            <w:r w:rsidRPr="00C601D3">
              <w:rPr>
                <w:rFonts w:ascii="Times New Roman" w:hAnsi="Times New Roman"/>
                <w:lang w:val="ro-RO"/>
              </w:rPr>
              <w:t>ezumat al acestuia.</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3)</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În cazul în care Nota conține o declarație sau un raport atribuit unei persoane care acționează în calitate de expert, se indică numele, adresa de la locul de muncă, calificările pe</w:t>
            </w:r>
            <w:r w:rsidRPr="00005B72">
              <w:rPr>
                <w:rFonts w:ascii="Times New Roman" w:hAnsi="Times New Roman"/>
                <w:lang w:val="ro-RO"/>
              </w:rPr>
              <w:t>rsoanei în cauză și, după caz, orice interese semnificative ale persoanei respective cu privire la emitent. În cazul în care raportul sau declarația au fost întocmite la cererea emitentului, se anexează o declarație prin care se confirmă faptul că documentele în cauză au fost incluse, în forma și în anumit</w:t>
            </w:r>
            <w:r w:rsidRPr="00C601D3">
              <w:rPr>
                <w:rFonts w:ascii="Times New Roman" w:hAnsi="Times New Roman"/>
                <w:lang w:val="ro-RO"/>
              </w:rPr>
              <w:t>ul  context, cu consimțământul persoanei care a autorizat conținutul acelei părți din Notă.</w:t>
            </w:r>
          </w:p>
        </w:tc>
      </w:tr>
      <w:tr w:rsidR="007463F4" w:rsidRPr="00A053D8"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jc w:val="both"/>
              <w:rPr>
                <w:rFonts w:ascii="Times New Roman" w:hAnsi="Times New Roman"/>
                <w:lang w:val="ro-RO"/>
              </w:rPr>
            </w:pPr>
            <w:r w:rsidRPr="00A053D8">
              <w:rPr>
                <w:rFonts w:ascii="Times New Roman" w:hAnsi="Times New Roman"/>
                <w:b/>
                <w:bCs/>
                <w:lang w:val="ro-RO"/>
              </w:rPr>
              <w:t>4)</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C601D3" w:rsidRDefault="007463F4" w:rsidP="00684656">
            <w:pPr>
              <w:pStyle w:val="NoSpacing"/>
              <w:ind w:right="129"/>
              <w:jc w:val="both"/>
              <w:rPr>
                <w:rFonts w:ascii="Times New Roman" w:hAnsi="Times New Roman"/>
                <w:lang w:val="ro-RO"/>
              </w:rPr>
            </w:pPr>
            <w:r w:rsidRPr="00A053D8">
              <w:rPr>
                <w:rFonts w:ascii="Times New Roman" w:hAnsi="Times New Roman"/>
                <w:lang w:val="ro-RO"/>
              </w:rPr>
              <w:t xml:space="preserve">În cazul în care informațiile provin de la o terță parte, se furnizează o confirmare a faptului că </w:t>
            </w:r>
            <w:r w:rsidRPr="00005B72">
              <w:rPr>
                <w:rFonts w:ascii="Times New Roman" w:hAnsi="Times New Roman"/>
                <w:lang w:val="ro-RO"/>
              </w:rPr>
              <w:t xml:space="preserve">informațiile în cauză au fost reproduse cu acuratețe și că, după cunoștințele emitentului și în măsura în care acesta poate să confirme având în vedere datele publicate de terța parte în cauză, nu au fost omise fapte care ar face ca informațiile reproduse să fie incorecte sau să inducă în eroare. Se menționează, de </w:t>
            </w:r>
            <w:r w:rsidRPr="00C601D3">
              <w:rPr>
                <w:rFonts w:ascii="Times New Roman" w:hAnsi="Times New Roman"/>
                <w:lang w:val="ro-RO"/>
              </w:rPr>
              <w:t>asemenea, sursa (sursele) informațiilor în cauză.</w:t>
            </w:r>
          </w:p>
        </w:tc>
      </w:tr>
      <w:tr w:rsidR="007463F4" w:rsidRPr="009E2893" w:rsidTr="00684656">
        <w:tc>
          <w:tcPr>
            <w:tcW w:w="333"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A053D8" w:rsidRDefault="007463F4" w:rsidP="00684656">
            <w:pPr>
              <w:pStyle w:val="NoSpacing"/>
              <w:widowControl w:val="0"/>
              <w:autoSpaceDE w:val="0"/>
              <w:autoSpaceDN w:val="0"/>
              <w:adjustRightInd w:val="0"/>
              <w:jc w:val="both"/>
              <w:rPr>
                <w:rFonts w:ascii="Times New Roman" w:hAnsi="Times New Roman"/>
                <w:lang w:val="ro-RO"/>
              </w:rPr>
            </w:pPr>
            <w:r w:rsidRPr="00A053D8">
              <w:rPr>
                <w:rFonts w:ascii="Times New Roman" w:hAnsi="Times New Roman"/>
                <w:b/>
                <w:bCs/>
                <w:lang w:val="ro-RO"/>
              </w:rPr>
              <w:t>5)</w:t>
            </w:r>
          </w:p>
        </w:tc>
        <w:tc>
          <w:tcPr>
            <w:tcW w:w="4667" w:type="pct"/>
            <w:tcBorders>
              <w:top w:val="single" w:sz="2" w:space="0" w:color="000000"/>
              <w:left w:val="single" w:sz="2" w:space="0" w:color="000000"/>
              <w:bottom w:val="single" w:sz="2" w:space="0" w:color="000000"/>
              <w:right w:val="single" w:sz="2" w:space="0" w:color="000000"/>
            </w:tcBorders>
            <w:shd w:val="clear" w:color="auto" w:fill="FFFFFF"/>
            <w:tcMar>
              <w:top w:w="13" w:type="dxa"/>
              <w:left w:w="33" w:type="dxa"/>
              <w:bottom w:w="13" w:type="dxa"/>
              <w:right w:w="13" w:type="dxa"/>
            </w:tcMar>
            <w:hideMark/>
          </w:tcPr>
          <w:p w:rsidR="007463F4" w:rsidRPr="00005B72" w:rsidRDefault="007463F4" w:rsidP="00684656">
            <w:pPr>
              <w:pStyle w:val="NoSpacing"/>
              <w:ind w:right="129"/>
              <w:jc w:val="both"/>
              <w:rPr>
                <w:rFonts w:ascii="Times New Roman" w:hAnsi="Times New Roman"/>
                <w:lang w:val="ro-RO"/>
              </w:rPr>
            </w:pPr>
            <w:r w:rsidRPr="00A053D8">
              <w:rPr>
                <w:rFonts w:ascii="Times New Roman" w:hAnsi="Times New Roman"/>
                <w:bCs/>
                <w:lang w:val="ro-RO"/>
              </w:rPr>
              <w:t xml:space="preserve">Ratingul atribuit emitentului sau titlurilor sale de împrumut, la cererea acestuia sau cu colaborarea sa în procesul de atribuire a </w:t>
            </w:r>
            <w:r w:rsidRPr="00005B72">
              <w:rPr>
                <w:rFonts w:ascii="Times New Roman" w:hAnsi="Times New Roman"/>
                <w:bCs/>
                <w:lang w:val="ro-RO"/>
              </w:rPr>
              <w:t>ratingului.</w:t>
            </w:r>
          </w:p>
        </w:tc>
      </w:tr>
    </w:tbl>
    <w:p w:rsidR="00BA4EDD" w:rsidRPr="007463F4" w:rsidRDefault="00BA4EDD">
      <w:pPr>
        <w:rPr>
          <w:lang w:val="en-GB"/>
        </w:rPr>
      </w:pPr>
    </w:p>
    <w:sectPr w:rsidR="00BA4EDD" w:rsidRPr="007463F4" w:rsidSect="00BA4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YR">
    <w:altName w:val="Times New Roman"/>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7463F4"/>
    <w:rsid w:val="007463F4"/>
    <w:rsid w:val="00BA4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F4"/>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463F4"/>
    <w:pPr>
      <w:spacing w:after="0" w:line="240" w:lineRule="auto"/>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7463F4"/>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1046</Words>
  <Characters>5967</Characters>
  <Application>Microsoft Office Word</Application>
  <DocSecurity>0</DocSecurity>
  <Lines>49</Lines>
  <Paragraphs>13</Paragraphs>
  <ScaleCrop>false</ScaleCrop>
  <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2018-05-21T13:15:00Z</dcterms:created>
  <dcterms:modified xsi:type="dcterms:W3CDTF">2018-05-21T13:15:00Z</dcterms:modified>
</cp:coreProperties>
</file>